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R4-2405638</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6.18.6</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NCR-MT</w:t>
      </w:r>
      <w:r>
        <w:rPr>
          <w:rFonts w:ascii="Arial" w:hAnsi="Arial" w:eastAsia="Calibri" w:cs="Arial"/>
          <w:b/>
          <w:bCs/>
          <w:sz w:val="24"/>
          <w:lang w:val="en-GB"/>
        </w:rPr>
        <w:t xml:space="preserve"> RRM </w:t>
      </w:r>
      <w:r>
        <w:rPr>
          <w:rFonts w:hint="eastAsia" w:ascii="Arial" w:hAnsi="Arial" w:cs="Arial"/>
          <w:b/>
          <w:bCs/>
          <w:sz w:val="24"/>
          <w:lang w:val="en-US" w:eastAsia="zh-CN"/>
        </w:rPr>
        <w:t>performance requirement</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7"/>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 xml:space="preserve">During the last RAN4 meeting, we reached the consensus on most of RRM test case for NCR-MT, however there is still one issue on the necessity of defining access beam switching delay test case. Indeed the core requirement for this scenario was discussed in RAN4#107 meeting with following agreement reached.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line="252" w:lineRule="auto"/>
              <w:ind w:left="0" w:right="0"/>
              <w:rPr>
                <w:rFonts w:hint="default"/>
                <w:u w:val="single"/>
              </w:rPr>
            </w:pPr>
            <w:r>
              <w:rPr>
                <w:rFonts w:hint="default"/>
                <w:u w:val="single"/>
              </w:rPr>
              <w:t>Issue 1-1: adaptive beamforming for NCR-Fwd access link</w:t>
            </w:r>
          </w:p>
          <w:p>
            <w:pPr>
              <w:pStyle w:val="36"/>
              <w:keepNext w:val="0"/>
              <w:keepLines w:val="0"/>
              <w:numPr>
                <w:ilvl w:val="0"/>
                <w:numId w:val="2"/>
              </w:numPr>
              <w:suppressLineNumbers w:val="0"/>
              <w:overflowPunct w:val="0"/>
              <w:autoSpaceDE w:val="0"/>
              <w:autoSpaceDN w:val="0"/>
              <w:adjustRightInd w:val="0"/>
              <w:spacing w:before="0" w:beforeAutospacing="0" w:afterAutospacing="0" w:line="252" w:lineRule="auto"/>
              <w:ind w:left="644" w:right="0"/>
              <w:rPr>
                <w:rFonts w:hint="default"/>
                <w:bCs/>
                <w:highlight w:val="green"/>
              </w:rPr>
            </w:pPr>
            <w:r>
              <w:rPr>
                <w:rFonts w:hint="default"/>
                <w:bCs/>
                <w:highlight w:val="green"/>
              </w:rPr>
              <w:t>Agreements</w:t>
            </w:r>
          </w:p>
          <w:p>
            <w:pPr>
              <w:pStyle w:val="36"/>
              <w:keepNext w:val="0"/>
              <w:keepLines w:val="0"/>
              <w:numPr>
                <w:ilvl w:val="1"/>
                <w:numId w:val="2"/>
              </w:numPr>
              <w:suppressLineNumbers w:val="0"/>
              <w:overflowPunct w:val="0"/>
              <w:autoSpaceDE w:val="0"/>
              <w:autoSpaceDN w:val="0"/>
              <w:adjustRightInd w:val="0"/>
              <w:spacing w:before="0" w:beforeAutospacing="0" w:afterAutospacing="0" w:line="252" w:lineRule="auto"/>
              <w:ind w:right="0"/>
              <w:rPr>
                <w:rFonts w:hint="default"/>
                <w:bCs/>
                <w:highlight w:val="green"/>
              </w:rPr>
            </w:pPr>
            <w:r>
              <w:rPr>
                <w:rFonts w:hint="default"/>
                <w:bCs/>
                <w:highlight w:val="green"/>
              </w:rPr>
              <w:t>Do not to define the requirement for NCR-Fwd access link beam configuration/switching procedure</w:t>
            </w:r>
          </w:p>
          <w:p>
            <w:pPr>
              <w:pStyle w:val="36"/>
              <w:keepNext w:val="0"/>
              <w:keepLines w:val="0"/>
              <w:numPr>
                <w:ilvl w:val="2"/>
                <w:numId w:val="2"/>
              </w:numPr>
              <w:suppressLineNumbers w:val="0"/>
              <w:overflowPunct w:val="0"/>
              <w:autoSpaceDE w:val="0"/>
              <w:autoSpaceDN w:val="0"/>
              <w:adjustRightInd w:val="0"/>
              <w:spacing w:before="0" w:beforeAutospacing="0" w:afterAutospacing="0" w:line="252" w:lineRule="auto"/>
              <w:ind w:right="0"/>
              <w:rPr>
                <w:rFonts w:hint="default"/>
                <w:vertAlign w:val="baseline"/>
                <w:lang w:val="en-US" w:eastAsia="zh-CN"/>
              </w:rPr>
            </w:pPr>
            <w:r>
              <w:rPr>
                <w:rFonts w:hint="default"/>
                <w:bCs/>
                <w:highlight w:val="green"/>
              </w:rPr>
              <w:t>Note: The decision can be revisited if RAN1 specifications do not include the respective procedure</w:t>
            </w:r>
          </w:p>
        </w:tc>
      </w:tr>
    </w:tbl>
    <w:p>
      <w:pPr>
        <w:tabs>
          <w:tab w:val="left" w:pos="2127"/>
        </w:tabs>
        <w:spacing w:after="0"/>
        <w:rPr>
          <w:rFonts w:hint="default" w:eastAsia="宋体"/>
          <w:lang w:val="en-US" w:eastAsia="zh-CN"/>
        </w:rPr>
      </w:pPr>
      <w:r>
        <w:rPr>
          <w:rFonts w:hint="eastAsia" w:eastAsia="宋体"/>
          <w:lang w:val="en-US" w:eastAsia="zh-CN"/>
        </w:rPr>
        <w:t xml:space="preserve">In this contribution, we share further views from the test case design for NCR-MT RRM for </w:t>
      </w:r>
      <w:r>
        <w:rPr>
          <w:rFonts w:hint="eastAsia"/>
          <w:lang w:val="en-US" w:eastAsia="zh-CN"/>
        </w:rPr>
        <w:t>a</w:t>
      </w:r>
      <w:r>
        <w:rPr>
          <w:rFonts w:hint="eastAsia" w:eastAsia="宋体"/>
          <w:lang w:val="en-US" w:eastAsia="zh-CN"/>
        </w:rPr>
        <w:t>daptive beamforming fro NCR-Fwd access link</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0"/>
      <w:bookmarkStart w:id="4" w:name="OLE_LINK13"/>
      <w:r>
        <w:rPr>
          <w:rFonts w:hint="eastAsia" w:eastAsia="Times New Roman"/>
        </w:rPr>
        <w:t xml:space="preserve"> </w:t>
      </w:r>
    </w:p>
    <w:p>
      <w:pPr>
        <w:outlineLvl w:val="1"/>
        <w:rPr>
          <w:rFonts w:ascii="Arial" w:hAnsi="Arial" w:cs="Arial"/>
          <w:sz w:val="28"/>
          <w:szCs w:val="28"/>
        </w:rPr>
      </w:pPr>
      <w:r>
        <w:rPr>
          <w:rFonts w:hint="eastAsia" w:ascii="Arial" w:hAnsi="Arial" w:cs="Arial"/>
          <w:sz w:val="28"/>
          <w:szCs w:val="28"/>
        </w:rPr>
        <w:t>2.1. Adaptive beamforming fro NCR</w:t>
      </w:r>
      <w:r>
        <w:rPr>
          <w:rFonts w:hint="eastAsia" w:ascii="Arial" w:hAnsi="Arial" w:cs="Arial"/>
          <w:sz w:val="28"/>
          <w:szCs w:val="28"/>
          <w:lang w:val="en-US" w:eastAsia="zh-CN"/>
        </w:rPr>
        <w:t>-Fwd</w:t>
      </w:r>
      <w:r>
        <w:rPr>
          <w:rFonts w:hint="eastAsia" w:ascii="Arial" w:hAnsi="Arial" w:cs="Arial"/>
          <w:sz w:val="28"/>
          <w:szCs w:val="28"/>
        </w:rPr>
        <w:t xml:space="preserve"> access link</w:t>
      </w:r>
    </w:p>
    <w:p>
      <w:pPr>
        <w:pStyle w:val="21"/>
        <w:keepNext w:val="0"/>
        <w:keepLines w:val="0"/>
        <w:widowControl/>
        <w:suppressLineNumbers w:val="0"/>
        <w:rPr>
          <w:rFonts w:hint="default" w:ascii="Times New Roman" w:hAnsi="Times New Roman" w:eastAsia="宋体" w:cs="Times New Roman"/>
          <w:sz w:val="20"/>
          <w:szCs w:val="20"/>
          <w:highlight w:val="none"/>
          <w:lang w:val="en-US" w:eastAsia="zh-CN"/>
        </w:rPr>
      </w:pPr>
      <w:r>
        <w:rPr>
          <w:rFonts w:hint="eastAsia" w:ascii="Times New Roman" w:hAnsi="Times New Roman" w:cs="Times New Roman"/>
          <w:sz w:val="20"/>
          <w:szCs w:val="20"/>
          <w:highlight w:val="none"/>
          <w:lang w:val="en-US" w:eastAsia="zh-CN"/>
        </w:rPr>
        <w:t>At</w:t>
      </w:r>
      <w:r>
        <w:rPr>
          <w:rFonts w:hint="default" w:ascii="Times New Roman" w:hAnsi="Times New Roman" w:cs="Times New Roman"/>
          <w:sz w:val="20"/>
          <w:szCs w:val="20"/>
          <w:highlight w:val="none"/>
        </w:rPr>
        <w:t xml:space="preserve"> RAN1#11</w:t>
      </w:r>
      <w:r>
        <w:rPr>
          <w:rFonts w:hint="eastAsia" w:ascii="Times New Roman" w:hAnsi="Times New Roman" w:cs="Times New Roman"/>
          <w:sz w:val="20"/>
          <w:szCs w:val="20"/>
          <w:highlight w:val="none"/>
          <w:lang w:val="en-US" w:eastAsia="zh-CN"/>
        </w:rPr>
        <w:t xml:space="preserve">2 meeting, for the beam indication on NCR-Fwd access link, it was agreed to have following two approaches, one is DCI based aperiodic beam indication and another one is semi-persistent beam indication. The detailed procedures for the two approaches are shown in the following Figure 1/2 for the ease of further discussions.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1"/>
              <w:keepNext w:val="0"/>
              <w:keepLines w:val="0"/>
              <w:widowControl/>
              <w:suppressLineNumbers w:val="0"/>
              <w:ind w:left="0" w:right="0"/>
              <w:rPr>
                <w:rFonts w:hint="default" w:ascii="Times New Roman" w:hAnsi="Times New Roman" w:cs="Times New Roman"/>
                <w:sz w:val="20"/>
                <w:szCs w:val="20"/>
                <w:highlight w:val="none"/>
              </w:rPr>
            </w:pPr>
            <w:r>
              <w:rPr>
                <w:rStyle w:val="28"/>
                <w:rFonts w:hint="default" w:ascii="Times New Roman" w:hAnsi="Times New Roman" w:cs="Times New Roman"/>
                <w:sz w:val="20"/>
                <w:szCs w:val="20"/>
                <w:highlight w:val="none"/>
              </w:rPr>
              <w:t>Agreements:</w:t>
            </w:r>
          </w:p>
          <w:p>
            <w:pPr>
              <w:pStyle w:val="21"/>
              <w:keepNext w:val="0"/>
              <w:keepLines w:val="0"/>
              <w:widowControl/>
              <w:suppressLineNumbers w:val="0"/>
              <w:ind w:left="0" w:right="0"/>
              <w:rPr>
                <w:rFonts w:hint="default" w:ascii="Times New Roman" w:hAnsi="Times New Roman" w:cs="Times New Roman"/>
                <w:sz w:val="20"/>
                <w:szCs w:val="20"/>
                <w:highlight w:val="none"/>
              </w:rPr>
            </w:pPr>
            <w:r>
              <w:rPr>
                <w:rStyle w:val="28"/>
                <w:rFonts w:hint="default" w:ascii="Times New Roman" w:hAnsi="Times New Roman" w:cs="Times New Roman"/>
                <w:sz w:val="20"/>
                <w:szCs w:val="20"/>
                <w:highlight w:val="none"/>
              </w:rPr>
              <w:t>For the aperiodic beam indication</w:t>
            </w:r>
            <w:r>
              <w:rPr>
                <w:rFonts w:hint="default" w:ascii="Times New Roman" w:hAnsi="Times New Roman" w:cs="Times New Roman"/>
                <w:sz w:val="20"/>
                <w:szCs w:val="20"/>
                <w:highlight w:val="none"/>
              </w:rPr>
              <w:t>, the reference of slot offset for each time resource is defined as the slot n+k where n refers to the slot that NCR-MT receive the DCI carrying the indication and:</w:t>
            </w:r>
          </w:p>
          <w:p>
            <w:pPr>
              <w:pStyle w:val="21"/>
              <w:keepNext w:val="0"/>
              <w:keepLines w:val="0"/>
              <w:widowControl/>
              <w:suppressLineNumbers w:val="0"/>
              <w:ind w:left="720" w:right="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Option-2: k refers to the offset value [defined by NCR-MT capability and/or declared by vendor].</w:t>
            </w:r>
          </w:p>
          <w:p>
            <w:pPr>
              <w:pStyle w:val="21"/>
              <w:keepNext w:val="0"/>
              <w:keepLines w:val="0"/>
              <w:widowControl/>
              <w:suppressLineNumbers w:val="0"/>
              <w:ind w:left="720" w:right="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Note: This k is different from the parameter used to define the Slot offset for the time resource.</w:t>
            </w:r>
          </w:p>
          <w:p>
            <w:pPr>
              <w:pStyle w:val="21"/>
              <w:keepNext w:val="0"/>
              <w:keepLines w:val="0"/>
              <w:widowControl/>
              <w:suppressLineNumbers w:val="0"/>
              <w:ind w:left="0" w:right="0"/>
              <w:rPr>
                <w:rFonts w:hint="default" w:ascii="Arial" w:hAnsi="Arial" w:cs="Arial"/>
                <w:sz w:val="20"/>
                <w:szCs w:val="20"/>
                <w:highlight w:val="none"/>
                <w:vertAlign w:val="baseline"/>
              </w:rPr>
            </w:pPr>
            <w:r>
              <w:rPr>
                <w:rStyle w:val="28"/>
                <w:rFonts w:hint="default" w:ascii="Times New Roman" w:hAnsi="Times New Roman" w:cs="Times New Roman"/>
                <w:sz w:val="20"/>
                <w:szCs w:val="20"/>
                <w:highlight w:val="none"/>
              </w:rPr>
              <w:t>For the semi-persistent beam indication</w:t>
            </w:r>
            <w:r>
              <w:rPr>
                <w:rFonts w:hint="default" w:ascii="Times New Roman" w:hAnsi="Times New Roman" w:cs="Times New Roman"/>
                <w:sz w:val="20"/>
                <w:szCs w:val="20"/>
                <w:highlight w:val="none"/>
              </w:rPr>
              <w:t>, the indicated information should be applied starting from the first slot that is after slot n+3N_slot^(subframe u), where n refers to the slot that NCR-MT would transmit HARQ-ACK information corresponding to the PDSCH carrying the activation command and u is the SCS configuration for the channel carrying the HARQ-ACK information.</w:t>
            </w:r>
          </w:p>
        </w:tc>
      </w:tr>
    </w:tbl>
    <w:p>
      <w:pPr>
        <w:pStyle w:val="21"/>
        <w:keepNext w:val="0"/>
        <w:keepLines w:val="0"/>
        <w:widowControl/>
        <w:suppressLineNumbers w:val="0"/>
        <w:rPr>
          <w:rFonts w:hint="default" w:ascii="Times New Roman" w:hAnsi="Times New Roman" w:cs="Times New Roman"/>
          <w:sz w:val="20"/>
          <w:szCs w:val="20"/>
          <w:lang w:val="en-US" w:eastAsia="zh-CN"/>
        </w:rPr>
      </w:pPr>
      <w:r>
        <w:rPr>
          <w:rFonts w:hint="eastAsia" w:ascii="Times New Roman" w:hAnsi="Times New Roman" w:cs="Times New Roman"/>
          <w:sz w:val="20"/>
          <w:szCs w:val="20"/>
          <w:highlight w:val="none"/>
          <w:lang w:val="en-US" w:eastAsia="zh-CN"/>
        </w:rPr>
        <w:t>As shown in the following figure 1/2, the late</w:t>
      </w:r>
      <w:r>
        <w:rPr>
          <w:rFonts w:hint="eastAsia" w:ascii="Times New Roman" w:hAnsi="Times New Roman" w:cs="Times New Roman"/>
          <w:sz w:val="20"/>
          <w:szCs w:val="20"/>
          <w:lang w:val="en-US" w:eastAsia="zh-CN"/>
        </w:rPr>
        <w:t>ncy for the execution of beam indication at the access link has already been clearly defined by RAN1 regardless of DCI based indication or MAC-CE based indication, from the procedure wise, it should be quite clear from RAN1 perspective without any further clarification or specification work in RAN4. The concerns might be coming from the verification of execution of NCR-Fwd access link. This might be similar as DCI based TCI switching if target TCI is known, from the procedure wise, it should be clearly defined in RAN1/RAN2, however there are still RRM requirement defined in RAN4 for the verification of UE behavior by RRM test case design.</w:t>
      </w:r>
    </w:p>
    <w:p>
      <w:pPr>
        <w:spacing w:after="0" w:line="240" w:lineRule="auto"/>
        <w:jc w:val="left"/>
        <w:rPr>
          <w:sz w:val="20"/>
        </w:rPr>
      </w:pPr>
      <w:r>
        <w:rPr>
          <w:sz w:val="20"/>
        </w:rPr>
        <w:drawing>
          <wp:inline distT="0" distB="0" distL="0" distR="0">
            <wp:extent cx="6188710" cy="2094865"/>
            <wp:effectExtent l="0" t="0" r="0" b="0"/>
            <wp:docPr id="1" name="图片 1" descr="C:\Users\10164284\AppData\Local\Microsoft\Windows\INetCache\Content.MSO\B7B7A8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B7B7A88.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88710" cy="2095051"/>
                    </a:xfrm>
                    <a:prstGeom prst="rect">
                      <a:avLst/>
                    </a:prstGeom>
                    <a:noFill/>
                    <a:ln>
                      <a:noFill/>
                    </a:ln>
                  </pic:spPr>
                </pic:pic>
              </a:graphicData>
            </a:graphic>
          </wp:inline>
        </w:drawing>
      </w:r>
    </w:p>
    <w:p>
      <w:pPr>
        <w:spacing w:after="0" w:line="240" w:lineRule="auto"/>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Figure 1. DCI based beam indication for NCR-Fwd access link</w:t>
      </w:r>
    </w:p>
    <w:p>
      <w:pPr>
        <w:spacing w:after="0" w:line="240" w:lineRule="auto"/>
        <w:jc w:val="left"/>
        <w:rPr>
          <w:sz w:val="20"/>
        </w:rPr>
      </w:pPr>
      <w:r>
        <w:rPr>
          <w:sz w:val="20"/>
        </w:rPr>
        <w:drawing>
          <wp:inline distT="0" distB="0" distL="0" distR="0">
            <wp:extent cx="6188710" cy="2964815"/>
            <wp:effectExtent l="0" t="0" r="2540" b="0"/>
            <wp:docPr id="2" name="图片 2" descr="C:\Users\10164284\AppData\Local\Microsoft\Windows\INetCache\Content.MSO\FA6629D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FA6629D6.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88710" cy="2964946"/>
                    </a:xfrm>
                    <a:prstGeom prst="rect">
                      <a:avLst/>
                    </a:prstGeom>
                    <a:noFill/>
                    <a:ln>
                      <a:noFill/>
                    </a:ln>
                  </pic:spPr>
                </pic:pic>
              </a:graphicData>
            </a:graphic>
          </wp:inline>
        </w:drawing>
      </w:r>
    </w:p>
    <w:p>
      <w:pPr>
        <w:spacing w:after="0" w:line="240" w:lineRule="auto"/>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Figure 2. MAC CE based beam indication for NCR-Fwd access link</w:t>
      </w:r>
    </w:p>
    <w:p>
      <w:pPr>
        <w:spacing w:after="0" w:line="240" w:lineRule="auto"/>
        <w:jc w:val="left"/>
        <w:rPr>
          <w:rFonts w:hint="eastAsia" w:cs="Times New Roman"/>
          <w:sz w:val="20"/>
          <w:szCs w:val="20"/>
          <w:lang w:val="en-US" w:eastAsia="zh-CN"/>
        </w:rPr>
      </w:pPr>
      <w:r>
        <w:rPr>
          <w:rFonts w:hint="eastAsia" w:ascii="Times New Roman" w:hAnsi="Times New Roman" w:eastAsia="宋体" w:cs="Times New Roman"/>
          <w:kern w:val="0"/>
          <w:sz w:val="20"/>
          <w:szCs w:val="20"/>
          <w:lang w:val="en-US" w:eastAsia="zh-CN" w:bidi="ar-SA"/>
        </w:rPr>
        <w:t>In the following</w:t>
      </w:r>
      <w:r>
        <w:rPr>
          <w:rFonts w:hint="eastAsia" w:cs="Times New Roman"/>
          <w:kern w:val="0"/>
          <w:sz w:val="20"/>
          <w:szCs w:val="20"/>
          <w:lang w:val="en-US" w:eastAsia="zh-CN" w:bidi="ar-SA"/>
        </w:rPr>
        <w:t xml:space="preserve"> figure 3, we try to figure out the measurement setup for NCR-Fwd access link beam switching based on beam indication from NCR-MT link if necessary. As we discussed in last RAN4 meeting, since the beam switching is occurring on the access link instead of control link, therefore measurement equipment is supposed to detect or measure the beam from the NCR-Fwd access link. Since the OTA signal forwarded by NCR-Fwd part is transparent without any further regeneration as relay or IAB, then how the measurement equipment is supposed to detect the beams from access link should be one essential issue to be further analyzed. At least from our understanding, if switched beams consist of both SSB and PDCCH/PDSCH at the access link, then SSS-based RSRP measurement or EIRP measurement could one measurement metric to verify whether beam switch has already been </w:t>
      </w:r>
      <w:r>
        <w:rPr>
          <w:rFonts w:hint="eastAsia" w:ascii="Times New Roman" w:hAnsi="Times New Roman" w:cs="Times New Roman"/>
          <w:sz w:val="20"/>
          <w:szCs w:val="20"/>
          <w:lang w:val="en-US" w:eastAsia="zh-CN"/>
        </w:rPr>
        <w:t>execut</w:t>
      </w:r>
      <w:r>
        <w:rPr>
          <w:rFonts w:hint="eastAsia" w:cs="Times New Roman"/>
          <w:sz w:val="20"/>
          <w:szCs w:val="20"/>
          <w:lang w:val="en-US" w:eastAsia="zh-CN"/>
        </w:rPr>
        <w:t>ed, or switched beam consist of only PDCCH/PDSCH signals, then EIRP measurement could one measurement metric to verify whether beam switch has already been executed.</w:t>
      </w:r>
    </w:p>
    <w:p>
      <w:pPr>
        <w:spacing w:after="0" w:line="240" w:lineRule="auto"/>
        <w:jc w:val="left"/>
        <w:rPr>
          <w:rFonts w:hint="default" w:cs="Times New Roman"/>
          <w:sz w:val="20"/>
          <w:szCs w:val="20"/>
          <w:lang w:val="en-US" w:eastAsia="zh-CN"/>
        </w:rPr>
      </w:pPr>
      <w:r>
        <w:rPr>
          <w:rFonts w:hint="eastAsia" w:cs="Times New Roman"/>
          <w:sz w:val="20"/>
          <w:szCs w:val="20"/>
          <w:lang w:val="en-US" w:eastAsia="zh-CN"/>
        </w:rPr>
        <w:t>However as we know that, weighting factor for each beams at the access link is implementation based without any specific beam directions specified in 3GPP and the mapping between weighting factor for each beam or each beam direction and beam indication index is also up to the implementation. Therefore it should be quite difficult to define the EIRP measurement difference between light orange @t</w:t>
      </w:r>
      <w:r>
        <w:rPr>
          <w:rFonts w:hint="eastAsia" w:cs="Times New Roman"/>
          <w:sz w:val="20"/>
          <w:szCs w:val="20"/>
          <w:vertAlign w:val="subscript"/>
          <w:lang w:val="en-US" w:eastAsia="zh-CN"/>
        </w:rPr>
        <w:t>0</w:t>
      </w:r>
      <w:r>
        <w:rPr>
          <w:rFonts w:hint="eastAsia" w:cs="Times New Roman"/>
          <w:sz w:val="20"/>
          <w:szCs w:val="20"/>
          <w:lang w:val="en-US" w:eastAsia="zh-CN"/>
        </w:rPr>
        <w:t xml:space="preserve"> and gray beams@t</w:t>
      </w:r>
      <w:r>
        <w:rPr>
          <w:rFonts w:hint="eastAsia" w:cs="Times New Roman"/>
          <w:sz w:val="20"/>
          <w:szCs w:val="20"/>
          <w:vertAlign w:val="subscript"/>
          <w:lang w:val="en-US" w:eastAsia="zh-CN"/>
        </w:rPr>
        <w:t>1</w:t>
      </w:r>
      <w:r>
        <w:rPr>
          <w:rFonts w:hint="eastAsia" w:cs="Times New Roman"/>
          <w:sz w:val="20"/>
          <w:szCs w:val="20"/>
          <w:lang w:val="en-US" w:eastAsia="zh-CN"/>
        </w:rPr>
        <w:t xml:space="preserve"> in the RRM test case. In addition, if two switched beams are quite close to each other and EIRP measurement uncertainty defined in TS38.106 is around 2.2dB for FR1 and 3.4dB for FR2 in normal conditions, then it would be also quite difficult to verify the beam switching </w:t>
      </w:r>
      <w:r>
        <w:rPr>
          <w:rFonts w:hint="eastAsia" w:ascii="Times New Roman" w:hAnsi="Times New Roman" w:cs="Times New Roman"/>
          <w:sz w:val="20"/>
          <w:szCs w:val="20"/>
          <w:lang w:val="en-US" w:eastAsia="zh-CN"/>
        </w:rPr>
        <w:t>execut</w:t>
      </w:r>
      <w:r>
        <w:rPr>
          <w:rFonts w:hint="eastAsia" w:cs="Times New Roman"/>
          <w:sz w:val="20"/>
          <w:szCs w:val="20"/>
          <w:lang w:val="en-US" w:eastAsia="zh-CN"/>
        </w:rPr>
        <w:t xml:space="preserve">ed. </w:t>
      </w:r>
    </w:p>
    <w:p>
      <w:pPr>
        <w:spacing w:after="0" w:line="240" w:lineRule="auto"/>
        <w:jc w:val="left"/>
        <w:rPr>
          <w:rFonts w:hint="default" w:cs="Times New Roman"/>
          <w:kern w:val="0"/>
          <w:sz w:val="20"/>
          <w:szCs w:val="20"/>
          <w:lang w:val="en-US" w:eastAsia="zh-CN" w:bidi="ar-SA"/>
        </w:rPr>
      </w:pPr>
    </w:p>
    <w:p>
      <w:pPr>
        <w:spacing w:after="0" w:line="240" w:lineRule="auto"/>
        <w:jc w:val="left"/>
        <w:rPr>
          <w:sz w:val="20"/>
        </w:rPr>
      </w:pPr>
      <w:r>
        <w:rPr>
          <w:sz w:val="20"/>
        </w:rPr>
        <w:drawing>
          <wp:inline distT="0" distB="0" distL="0" distR="0">
            <wp:extent cx="6188710" cy="2946400"/>
            <wp:effectExtent l="0" t="0" r="2540" b="6350"/>
            <wp:docPr id="5" name="图片 5" descr="C:\Users\10164284\AppData\Local\Microsoft\Windows\INetCache\Content.MSO\DD13A83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164284\AppData\Local\Microsoft\Windows\INetCache\Content.MSO\DD13A832.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88710" cy="2946809"/>
                    </a:xfrm>
                    <a:prstGeom prst="rect">
                      <a:avLst/>
                    </a:prstGeom>
                    <a:noFill/>
                    <a:ln>
                      <a:noFill/>
                    </a:ln>
                  </pic:spPr>
                </pic:pic>
              </a:graphicData>
            </a:graphic>
          </wp:inline>
        </w:drawing>
      </w:r>
    </w:p>
    <w:p>
      <w:pPr>
        <w:spacing w:after="0" w:line="240" w:lineRule="auto"/>
        <w:jc w:val="center"/>
        <w:rPr>
          <w:sz w:val="20"/>
        </w:rPr>
      </w:pPr>
      <w:r>
        <w:rPr>
          <w:sz w:val="20"/>
        </w:rPr>
        <w:t>F</w:t>
      </w:r>
      <w:r>
        <w:rPr>
          <w:rFonts w:hint="eastAsia"/>
          <w:sz w:val="20"/>
        </w:rPr>
        <w:t>igure</w:t>
      </w:r>
      <w:r>
        <w:rPr>
          <w:sz w:val="20"/>
        </w:rPr>
        <w:t xml:space="preserve"> 3.</w:t>
      </w:r>
      <w:r>
        <w:rPr>
          <w:rFonts w:hint="eastAsia"/>
          <w:sz w:val="20"/>
          <w:lang w:val="en-US" w:eastAsia="zh-CN"/>
        </w:rPr>
        <w:t xml:space="preserve"> measurement setup for NCR-Fwd access link beam indication measurement</w:t>
      </w:r>
    </w:p>
    <w:p>
      <w:pPr>
        <w:spacing w:after="0" w:line="240" w:lineRule="auto"/>
        <w:jc w:val="left"/>
        <w:rPr>
          <w:rFonts w:hint="eastAsia"/>
          <w:sz w:val="20"/>
          <w:lang w:val="en-US" w:eastAsia="zh-CN"/>
        </w:rPr>
      </w:pPr>
      <w:r>
        <w:rPr>
          <w:rFonts w:hint="eastAsia"/>
          <w:sz w:val="20"/>
          <w:lang w:val="en-US" w:eastAsia="zh-CN"/>
        </w:rPr>
        <w:t xml:space="preserve">In short, based on the above analysis especially from the verification of execution of beam switching at NCR-Fwd access link, it seems quite difficult to figure out the universally applicable test parameter configurations for it since both mapping between beam index and each beam direction and weighting factor for each beams are implementation based. </w:t>
      </w:r>
    </w:p>
    <w:p>
      <w:pPr>
        <w:spacing w:after="0" w:line="240" w:lineRule="auto"/>
        <w:jc w:val="left"/>
        <w:rPr>
          <w:rFonts w:hint="default"/>
          <w:sz w:val="20"/>
          <w:lang w:val="en-US" w:eastAsia="zh-CN"/>
        </w:rPr>
      </w:pPr>
      <w:r>
        <w:rPr>
          <w:rFonts w:hint="eastAsia"/>
          <w:sz w:val="20"/>
          <w:lang w:val="en-US" w:eastAsia="zh-CN"/>
        </w:rPr>
        <w:t xml:space="preserve">In addition, it should be noted that there are only NCR type 1-C and NCR type 1-H types defined in Rel-18, in other words, there are no FR1 OTA conformance testing requirement defined yet. The RRM test for adaptive beamforming at access link for FR1 NCR device will not align with the existing FR1requirement framework. For FR2, we only have the OTA requirement defined yet. Indeed this adaptive beamforming from access link is quite similar as BS SSB beam sweeping, the BS SSB sweeping is not measured in the past.  </w:t>
      </w:r>
    </w:p>
    <w:p>
      <w:pPr>
        <w:spacing w:after="0" w:line="240" w:lineRule="auto"/>
        <w:jc w:val="left"/>
        <w:rPr>
          <w:rFonts w:hint="default"/>
          <w:lang w:val="en-US"/>
        </w:rPr>
      </w:pPr>
      <w:r>
        <w:rPr>
          <w:rFonts w:hint="eastAsia"/>
          <w:b/>
          <w:bCs/>
          <w:sz w:val="20"/>
          <w:lang w:val="en-US" w:eastAsia="zh-CN"/>
        </w:rPr>
        <w:t>Proposal 1:</w:t>
      </w:r>
      <w:r>
        <w:rPr>
          <w:rFonts w:hint="eastAsia"/>
          <w:sz w:val="20"/>
          <w:lang w:val="en-US" w:eastAsia="zh-CN"/>
        </w:rPr>
        <w:t xml:space="preserve"> not to define the test cases for adaptive beamforming for access link.  </w:t>
      </w: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NCR-MT RRM performance requirements </w:t>
      </w:r>
      <w:r>
        <w:rPr>
          <w:rFonts w:hint="eastAsia"/>
        </w:rPr>
        <w:t>and proposals are made as following:</w:t>
      </w:r>
    </w:p>
    <w:p>
      <w:pPr>
        <w:jc w:val="left"/>
        <w:rPr>
          <w:rFonts w:hint="eastAsia"/>
        </w:rPr>
      </w:pPr>
      <w:r>
        <w:rPr>
          <w:rFonts w:hint="eastAsia"/>
          <w:b/>
          <w:bCs/>
          <w:sz w:val="20"/>
          <w:lang w:val="en-US" w:eastAsia="zh-CN"/>
        </w:rPr>
        <w:t>Proposal 1:</w:t>
      </w:r>
      <w:r>
        <w:rPr>
          <w:rFonts w:hint="eastAsia"/>
          <w:sz w:val="20"/>
          <w:lang w:val="en-US" w:eastAsia="zh-CN"/>
        </w:rPr>
        <w:t xml:space="preserve"> not to define the test cases for adaptive beamforming for access link.</w:t>
      </w:r>
    </w:p>
    <w:p>
      <w:pPr>
        <w:pStyle w:val="57"/>
        <w:tabs>
          <w:tab w:val="left" w:pos="567"/>
          <w:tab w:val="clear" w:pos="1985"/>
        </w:tabs>
        <w:adjustRightInd w:val="0"/>
        <w:ind w:left="510" w:hanging="510"/>
      </w:pPr>
      <w:r>
        <w:t>References</w:t>
      </w:r>
    </w:p>
    <w:p>
      <w:pPr>
        <w:pStyle w:val="55"/>
        <w:numPr>
          <w:ilvl w:val="0"/>
          <w:numId w:val="3"/>
        </w:numPr>
        <w:rPr>
          <w:rFonts w:hint="eastAsia"/>
          <w:sz w:val="20"/>
          <w:szCs w:val="20"/>
        </w:rPr>
      </w:pPr>
      <w:r>
        <w:rPr>
          <w:rFonts w:hint="eastAsia"/>
          <w:sz w:val="20"/>
          <w:szCs w:val="20"/>
        </w:rPr>
        <w:t xml:space="preserve">RP-222673, New WID on NR network-controlled </w:t>
      </w:r>
      <w:r>
        <w:rPr>
          <w:rFonts w:hint="eastAsia"/>
          <w:sz w:val="20"/>
          <w:szCs w:val="20"/>
          <w:lang w:eastAsia="zh-CN"/>
        </w:rPr>
        <w:t>NCR</w:t>
      </w:r>
      <w:r>
        <w:rPr>
          <w:rFonts w:hint="eastAsia"/>
          <w:sz w:val="20"/>
          <w:szCs w:val="20"/>
        </w:rPr>
        <w:t>, ZTE, Sanechips, Approved</w:t>
      </w:r>
    </w:p>
    <w:p>
      <w:pPr>
        <w:pStyle w:val="55"/>
        <w:numPr>
          <w:ilvl w:val="0"/>
          <w:numId w:val="3"/>
        </w:numPr>
        <w:rPr>
          <w:rFonts w:hint="eastAsia"/>
          <w:sz w:val="20"/>
          <w:szCs w:val="20"/>
        </w:rPr>
      </w:pPr>
      <w:r>
        <w:rPr>
          <w:rFonts w:hint="eastAsia"/>
          <w:sz w:val="20"/>
          <w:szCs w:val="20"/>
        </w:rPr>
        <w:fldChar w:fldCharType="begin"/>
      </w:r>
      <w:r>
        <w:rPr>
          <w:rFonts w:hint="eastAsia"/>
          <w:sz w:val="20"/>
          <w:szCs w:val="20"/>
        </w:rPr>
        <w:instrText xml:space="preserve"> HYPERLINK "ftp://10.10.10.10/ftp/tsg_ran/WG4_Radio/TSGR4_110/Inbox/R4-2403481.zip" </w:instrText>
      </w:r>
      <w:r>
        <w:rPr>
          <w:rFonts w:hint="eastAsia"/>
          <w:sz w:val="20"/>
          <w:szCs w:val="20"/>
        </w:rPr>
        <w:fldChar w:fldCharType="separate"/>
      </w:r>
      <w:r>
        <w:rPr>
          <w:rFonts w:hint="eastAsia"/>
          <w:sz w:val="20"/>
          <w:szCs w:val="20"/>
        </w:rPr>
        <w:t>R4-2403481</w:t>
      </w:r>
      <w:r>
        <w:rPr>
          <w:rFonts w:hint="eastAsia"/>
          <w:sz w:val="20"/>
          <w:szCs w:val="20"/>
        </w:rPr>
        <w:fldChar w:fldCharType="end"/>
      </w:r>
      <w:r>
        <w:rPr>
          <w:rFonts w:hint="eastAsia"/>
          <w:sz w:val="20"/>
          <w:szCs w:val="20"/>
          <w:lang w:val="en-US" w:eastAsia="zh-CN"/>
        </w:rPr>
        <w:t>,</w:t>
      </w:r>
      <w:r>
        <w:rPr>
          <w:rFonts w:hint="eastAsia"/>
          <w:sz w:val="20"/>
          <w:szCs w:val="20"/>
        </w:rPr>
        <w:t>WF on NCR RRM performance requirements</w:t>
      </w:r>
      <w:r>
        <w:rPr>
          <w:rFonts w:hint="eastAsia"/>
          <w:sz w:val="20"/>
          <w:szCs w:val="20"/>
          <w:lang w:val="en-US" w:eastAsia="zh-CN"/>
        </w:rPr>
        <w:t>,ZTE, Approved.</w:t>
      </w:r>
    </w:p>
    <w:p>
      <w:pPr>
        <w:pStyle w:val="55"/>
        <w:numPr>
          <w:ilvl w:val="0"/>
          <w:numId w:val="3"/>
        </w:numPr>
        <w:rPr>
          <w:rFonts w:hint="default" w:eastAsia="宋体"/>
          <w:sz w:val="20"/>
          <w:szCs w:val="20"/>
          <w:lang w:val="en-US" w:eastAsia="zh-CN"/>
        </w:rPr>
      </w:pPr>
      <w:r>
        <w:rPr>
          <w:rFonts w:hint="eastAsia" w:eastAsia="宋体"/>
          <w:sz w:val="20"/>
          <w:szCs w:val="20"/>
        </w:rPr>
        <w:t>R4-2310084</w:t>
      </w:r>
      <w:r>
        <w:rPr>
          <w:rFonts w:hint="eastAsia" w:eastAsia="宋体"/>
          <w:sz w:val="20"/>
          <w:szCs w:val="20"/>
          <w:lang w:val="en-US" w:eastAsia="zh-CN"/>
        </w:rPr>
        <w:t>,WF on Network-controlled repeater RRM requirements, ZTE, Approved.</w:t>
      </w:r>
    </w:p>
    <w:p>
      <w:pPr>
        <w:pStyle w:val="55"/>
        <w:numPr>
          <w:ilvl w:val="0"/>
          <w:numId w:val="0"/>
        </w:numPr>
        <w:rPr>
          <w:rFonts w:hint="eastAsia"/>
          <w:sz w:val="20"/>
          <w:szCs w:val="20"/>
        </w:rPr>
      </w:pPr>
    </w:p>
    <w:p>
      <w:pPr>
        <w:pStyle w:val="55"/>
        <w:numPr>
          <w:ilvl w:val="255"/>
          <w:numId w:val="0"/>
        </w:numPr>
        <w:rPr>
          <w:sz w:val="20"/>
          <w:szCs w:val="20"/>
          <w:lang w:eastAsia="en-GB"/>
        </w:rPr>
      </w:pPr>
    </w:p>
    <w:p>
      <w:pPr>
        <w:pStyle w:val="55"/>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D4212"/>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63B13"/>
    <w:rsid w:val="01A742A2"/>
    <w:rsid w:val="01AF4E84"/>
    <w:rsid w:val="01B74D97"/>
    <w:rsid w:val="01B85FEF"/>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733DC"/>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461EE"/>
    <w:rsid w:val="03251730"/>
    <w:rsid w:val="03260F70"/>
    <w:rsid w:val="03284E77"/>
    <w:rsid w:val="032907E2"/>
    <w:rsid w:val="03290A22"/>
    <w:rsid w:val="032C55B7"/>
    <w:rsid w:val="032E4DBB"/>
    <w:rsid w:val="0332111E"/>
    <w:rsid w:val="03332CAE"/>
    <w:rsid w:val="03343BC7"/>
    <w:rsid w:val="033773F8"/>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86ED3"/>
    <w:rsid w:val="04811E74"/>
    <w:rsid w:val="04856247"/>
    <w:rsid w:val="04865E52"/>
    <w:rsid w:val="04875104"/>
    <w:rsid w:val="048829D4"/>
    <w:rsid w:val="049B40DC"/>
    <w:rsid w:val="04A128B3"/>
    <w:rsid w:val="04A3117E"/>
    <w:rsid w:val="04C6655F"/>
    <w:rsid w:val="04CD2C67"/>
    <w:rsid w:val="04D66461"/>
    <w:rsid w:val="04D95F6F"/>
    <w:rsid w:val="04DB584D"/>
    <w:rsid w:val="04E06510"/>
    <w:rsid w:val="04ED5A99"/>
    <w:rsid w:val="04FB4499"/>
    <w:rsid w:val="04FF76AB"/>
    <w:rsid w:val="05010225"/>
    <w:rsid w:val="051034CD"/>
    <w:rsid w:val="051F43BC"/>
    <w:rsid w:val="052432F7"/>
    <w:rsid w:val="05280A89"/>
    <w:rsid w:val="052D14A7"/>
    <w:rsid w:val="053527F5"/>
    <w:rsid w:val="05367F8C"/>
    <w:rsid w:val="053C34DE"/>
    <w:rsid w:val="053E1AC2"/>
    <w:rsid w:val="053E6829"/>
    <w:rsid w:val="0545651B"/>
    <w:rsid w:val="05564384"/>
    <w:rsid w:val="05583DC1"/>
    <w:rsid w:val="055A77BF"/>
    <w:rsid w:val="055C5DB2"/>
    <w:rsid w:val="055C75CE"/>
    <w:rsid w:val="05631D30"/>
    <w:rsid w:val="05687505"/>
    <w:rsid w:val="05734531"/>
    <w:rsid w:val="05784E56"/>
    <w:rsid w:val="057C7AAB"/>
    <w:rsid w:val="057F0408"/>
    <w:rsid w:val="057F4A01"/>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825E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024F4"/>
    <w:rsid w:val="087716A2"/>
    <w:rsid w:val="08780590"/>
    <w:rsid w:val="087B0C6A"/>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F10FA0"/>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3589"/>
    <w:rsid w:val="09334A3F"/>
    <w:rsid w:val="093B00AE"/>
    <w:rsid w:val="094109B5"/>
    <w:rsid w:val="09444B9B"/>
    <w:rsid w:val="09467185"/>
    <w:rsid w:val="09470556"/>
    <w:rsid w:val="09486BA4"/>
    <w:rsid w:val="0953050B"/>
    <w:rsid w:val="09546457"/>
    <w:rsid w:val="09573CE0"/>
    <w:rsid w:val="0958129F"/>
    <w:rsid w:val="09582472"/>
    <w:rsid w:val="09623D60"/>
    <w:rsid w:val="096308E4"/>
    <w:rsid w:val="096913F9"/>
    <w:rsid w:val="096B649C"/>
    <w:rsid w:val="096C10FE"/>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2D0142"/>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A62C7"/>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EB1872"/>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5F3D37"/>
    <w:rsid w:val="0B605DE1"/>
    <w:rsid w:val="0B615169"/>
    <w:rsid w:val="0B622E13"/>
    <w:rsid w:val="0B651A68"/>
    <w:rsid w:val="0B717521"/>
    <w:rsid w:val="0B8307A0"/>
    <w:rsid w:val="0B841D24"/>
    <w:rsid w:val="0B857CF5"/>
    <w:rsid w:val="0B884E90"/>
    <w:rsid w:val="0B892782"/>
    <w:rsid w:val="0B936E39"/>
    <w:rsid w:val="0B9538BE"/>
    <w:rsid w:val="0B9B4AEA"/>
    <w:rsid w:val="0B9C0905"/>
    <w:rsid w:val="0B9E13B0"/>
    <w:rsid w:val="0BA50427"/>
    <w:rsid w:val="0BA7692D"/>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4053F"/>
    <w:rsid w:val="0C2C1AE5"/>
    <w:rsid w:val="0C37145B"/>
    <w:rsid w:val="0C3946F8"/>
    <w:rsid w:val="0C3C0AB0"/>
    <w:rsid w:val="0C455380"/>
    <w:rsid w:val="0C517DA1"/>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0B44"/>
    <w:rsid w:val="0C885C99"/>
    <w:rsid w:val="0C8B4B61"/>
    <w:rsid w:val="0C9A4387"/>
    <w:rsid w:val="0C9A49E7"/>
    <w:rsid w:val="0C9D3F03"/>
    <w:rsid w:val="0CA1546A"/>
    <w:rsid w:val="0CA4660D"/>
    <w:rsid w:val="0CA46672"/>
    <w:rsid w:val="0CA92BAC"/>
    <w:rsid w:val="0CB02A2E"/>
    <w:rsid w:val="0CB07BBB"/>
    <w:rsid w:val="0CB176C1"/>
    <w:rsid w:val="0CB471A1"/>
    <w:rsid w:val="0CB90F2E"/>
    <w:rsid w:val="0CBB5A0F"/>
    <w:rsid w:val="0CCD3B1C"/>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30BF2"/>
    <w:rsid w:val="0D845BD8"/>
    <w:rsid w:val="0D904522"/>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933E8"/>
    <w:rsid w:val="0DDD2372"/>
    <w:rsid w:val="0DDE1317"/>
    <w:rsid w:val="0DE55D4A"/>
    <w:rsid w:val="0DEE77C3"/>
    <w:rsid w:val="0DF0225F"/>
    <w:rsid w:val="0DF367C2"/>
    <w:rsid w:val="0DF471F4"/>
    <w:rsid w:val="0DFC48AF"/>
    <w:rsid w:val="0DFF2594"/>
    <w:rsid w:val="0E0313B1"/>
    <w:rsid w:val="0E043FF3"/>
    <w:rsid w:val="0E062A96"/>
    <w:rsid w:val="0E0B29BB"/>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550CD"/>
    <w:rsid w:val="0F1D0ECD"/>
    <w:rsid w:val="0F2D7701"/>
    <w:rsid w:val="0F32645C"/>
    <w:rsid w:val="0F3452E0"/>
    <w:rsid w:val="0F362C24"/>
    <w:rsid w:val="0F364BC2"/>
    <w:rsid w:val="0F3A630E"/>
    <w:rsid w:val="0F3B1C05"/>
    <w:rsid w:val="0F3B7D81"/>
    <w:rsid w:val="0F437CE3"/>
    <w:rsid w:val="0F455F85"/>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011D1"/>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C75B1"/>
    <w:rsid w:val="10F33CC1"/>
    <w:rsid w:val="10FA45D2"/>
    <w:rsid w:val="11024527"/>
    <w:rsid w:val="110A4489"/>
    <w:rsid w:val="11150F62"/>
    <w:rsid w:val="111A28E5"/>
    <w:rsid w:val="111D46E5"/>
    <w:rsid w:val="111E5679"/>
    <w:rsid w:val="11280A27"/>
    <w:rsid w:val="112F54D2"/>
    <w:rsid w:val="1133321C"/>
    <w:rsid w:val="113B291C"/>
    <w:rsid w:val="11457D8C"/>
    <w:rsid w:val="11461F96"/>
    <w:rsid w:val="114B46C7"/>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42CB0"/>
    <w:rsid w:val="123616D6"/>
    <w:rsid w:val="12396B0A"/>
    <w:rsid w:val="123A52C3"/>
    <w:rsid w:val="123C3AE0"/>
    <w:rsid w:val="123E0CDC"/>
    <w:rsid w:val="12497A85"/>
    <w:rsid w:val="125A02CC"/>
    <w:rsid w:val="12612BA4"/>
    <w:rsid w:val="126405F6"/>
    <w:rsid w:val="1265625F"/>
    <w:rsid w:val="127222F3"/>
    <w:rsid w:val="12741295"/>
    <w:rsid w:val="127D422E"/>
    <w:rsid w:val="12845278"/>
    <w:rsid w:val="12863AEA"/>
    <w:rsid w:val="128B7C40"/>
    <w:rsid w:val="128C036A"/>
    <w:rsid w:val="128E70AD"/>
    <w:rsid w:val="129535C1"/>
    <w:rsid w:val="129D41B7"/>
    <w:rsid w:val="12A1343D"/>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319F"/>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95F40"/>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67441"/>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D4A84"/>
    <w:rsid w:val="155064C0"/>
    <w:rsid w:val="155424D6"/>
    <w:rsid w:val="155605E9"/>
    <w:rsid w:val="155B1745"/>
    <w:rsid w:val="155F651D"/>
    <w:rsid w:val="15655F19"/>
    <w:rsid w:val="156870BF"/>
    <w:rsid w:val="157348EB"/>
    <w:rsid w:val="157500D8"/>
    <w:rsid w:val="15787FE5"/>
    <w:rsid w:val="157D13E3"/>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676C8"/>
    <w:rsid w:val="161C3234"/>
    <w:rsid w:val="162F0727"/>
    <w:rsid w:val="16302232"/>
    <w:rsid w:val="163562A4"/>
    <w:rsid w:val="163A584C"/>
    <w:rsid w:val="164051D9"/>
    <w:rsid w:val="1641433F"/>
    <w:rsid w:val="16486E94"/>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172D0A"/>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04EB8"/>
    <w:rsid w:val="17F223D1"/>
    <w:rsid w:val="17F55D04"/>
    <w:rsid w:val="17FB3B07"/>
    <w:rsid w:val="17FC272C"/>
    <w:rsid w:val="17FE0B0A"/>
    <w:rsid w:val="17FE0C9F"/>
    <w:rsid w:val="17FF3C9D"/>
    <w:rsid w:val="18020237"/>
    <w:rsid w:val="18070E65"/>
    <w:rsid w:val="180A527C"/>
    <w:rsid w:val="18157481"/>
    <w:rsid w:val="181B3A35"/>
    <w:rsid w:val="182267FD"/>
    <w:rsid w:val="18235A20"/>
    <w:rsid w:val="18235E85"/>
    <w:rsid w:val="18331DA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0091"/>
    <w:rsid w:val="19F91F18"/>
    <w:rsid w:val="19FF1298"/>
    <w:rsid w:val="1A03072C"/>
    <w:rsid w:val="1A045B87"/>
    <w:rsid w:val="1A053712"/>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E04FC"/>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075B"/>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77086"/>
    <w:rsid w:val="1DB835A9"/>
    <w:rsid w:val="1DC254A8"/>
    <w:rsid w:val="1DC603E1"/>
    <w:rsid w:val="1DD546A9"/>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96778"/>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31465"/>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5D6038"/>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83051"/>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30562"/>
    <w:rsid w:val="21361B20"/>
    <w:rsid w:val="213D54AD"/>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66AFA"/>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1FBC"/>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C91CB7"/>
    <w:rsid w:val="22D41540"/>
    <w:rsid w:val="22D61781"/>
    <w:rsid w:val="22DD0DC7"/>
    <w:rsid w:val="22E30977"/>
    <w:rsid w:val="22E30F99"/>
    <w:rsid w:val="22E95A8D"/>
    <w:rsid w:val="22F017B2"/>
    <w:rsid w:val="22F7088E"/>
    <w:rsid w:val="22F97E5B"/>
    <w:rsid w:val="22FA647A"/>
    <w:rsid w:val="22FB21DC"/>
    <w:rsid w:val="23003817"/>
    <w:rsid w:val="23042520"/>
    <w:rsid w:val="230B07F6"/>
    <w:rsid w:val="230F5148"/>
    <w:rsid w:val="23143B37"/>
    <w:rsid w:val="231544D3"/>
    <w:rsid w:val="2315496B"/>
    <w:rsid w:val="231637F9"/>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67CC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A6864"/>
    <w:rsid w:val="24CD6DBE"/>
    <w:rsid w:val="24D20A06"/>
    <w:rsid w:val="24D51CDF"/>
    <w:rsid w:val="24E57853"/>
    <w:rsid w:val="24E77BE6"/>
    <w:rsid w:val="24F17428"/>
    <w:rsid w:val="24F24750"/>
    <w:rsid w:val="250253B9"/>
    <w:rsid w:val="250C5C6A"/>
    <w:rsid w:val="25161367"/>
    <w:rsid w:val="25165BAC"/>
    <w:rsid w:val="2517098B"/>
    <w:rsid w:val="25176627"/>
    <w:rsid w:val="251E0656"/>
    <w:rsid w:val="252053F9"/>
    <w:rsid w:val="25280B69"/>
    <w:rsid w:val="25280CBE"/>
    <w:rsid w:val="252A4786"/>
    <w:rsid w:val="25304AD5"/>
    <w:rsid w:val="25395126"/>
    <w:rsid w:val="25423B1F"/>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93E01"/>
    <w:rsid w:val="25DC0E91"/>
    <w:rsid w:val="25E32F35"/>
    <w:rsid w:val="25EB7CD4"/>
    <w:rsid w:val="25F04B7D"/>
    <w:rsid w:val="25F24DEA"/>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F0B9A"/>
    <w:rsid w:val="284543A1"/>
    <w:rsid w:val="285465E8"/>
    <w:rsid w:val="28553E1D"/>
    <w:rsid w:val="2859475D"/>
    <w:rsid w:val="2866568E"/>
    <w:rsid w:val="28693318"/>
    <w:rsid w:val="286B3B61"/>
    <w:rsid w:val="286D43F4"/>
    <w:rsid w:val="286F5A89"/>
    <w:rsid w:val="28754C0A"/>
    <w:rsid w:val="28765DD5"/>
    <w:rsid w:val="28821314"/>
    <w:rsid w:val="288C34D3"/>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37303"/>
    <w:rsid w:val="29572948"/>
    <w:rsid w:val="295F6C16"/>
    <w:rsid w:val="296865F6"/>
    <w:rsid w:val="296B20A7"/>
    <w:rsid w:val="297812F4"/>
    <w:rsid w:val="297D1A8B"/>
    <w:rsid w:val="298F5F4D"/>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51BB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34015"/>
    <w:rsid w:val="2AE70523"/>
    <w:rsid w:val="2AF12CDF"/>
    <w:rsid w:val="2AF27DCB"/>
    <w:rsid w:val="2AF46992"/>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412AA"/>
    <w:rsid w:val="2BA53554"/>
    <w:rsid w:val="2BAC4FE7"/>
    <w:rsid w:val="2BB0363B"/>
    <w:rsid w:val="2BB44220"/>
    <w:rsid w:val="2BB61EA7"/>
    <w:rsid w:val="2BBA6EF5"/>
    <w:rsid w:val="2BBD5502"/>
    <w:rsid w:val="2BBE53B4"/>
    <w:rsid w:val="2BC03979"/>
    <w:rsid w:val="2BC941AF"/>
    <w:rsid w:val="2BD41309"/>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C3A"/>
    <w:rsid w:val="2DC464AC"/>
    <w:rsid w:val="2DD06A7C"/>
    <w:rsid w:val="2DD06AF3"/>
    <w:rsid w:val="2DDD1D4C"/>
    <w:rsid w:val="2DEA21A7"/>
    <w:rsid w:val="2DF04CFF"/>
    <w:rsid w:val="2DF6091F"/>
    <w:rsid w:val="2DF77C3F"/>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171AB"/>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C6FB0"/>
    <w:rsid w:val="2FF117AD"/>
    <w:rsid w:val="2FF17999"/>
    <w:rsid w:val="2FF335AC"/>
    <w:rsid w:val="2FF40BAE"/>
    <w:rsid w:val="2FF95633"/>
    <w:rsid w:val="2FFD391C"/>
    <w:rsid w:val="30010F70"/>
    <w:rsid w:val="300F7F13"/>
    <w:rsid w:val="30146B19"/>
    <w:rsid w:val="30151A88"/>
    <w:rsid w:val="301C0A49"/>
    <w:rsid w:val="301E3C00"/>
    <w:rsid w:val="302757BF"/>
    <w:rsid w:val="30276F4E"/>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7247"/>
    <w:rsid w:val="313A457C"/>
    <w:rsid w:val="313A7B85"/>
    <w:rsid w:val="313E22A6"/>
    <w:rsid w:val="31412F85"/>
    <w:rsid w:val="314452A0"/>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455CF"/>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C6DC4"/>
    <w:rsid w:val="3238698E"/>
    <w:rsid w:val="324968A9"/>
    <w:rsid w:val="324C11A1"/>
    <w:rsid w:val="324F1DD8"/>
    <w:rsid w:val="32515BC8"/>
    <w:rsid w:val="32530F81"/>
    <w:rsid w:val="32544043"/>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877948"/>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30CE"/>
    <w:rsid w:val="330244A4"/>
    <w:rsid w:val="3304026E"/>
    <w:rsid w:val="33066388"/>
    <w:rsid w:val="330F1E44"/>
    <w:rsid w:val="331747E7"/>
    <w:rsid w:val="331B37C6"/>
    <w:rsid w:val="331C390F"/>
    <w:rsid w:val="33222F7E"/>
    <w:rsid w:val="33397F4C"/>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451B9"/>
    <w:rsid w:val="33E20DF0"/>
    <w:rsid w:val="33E570DD"/>
    <w:rsid w:val="33EA5517"/>
    <w:rsid w:val="33EC1F9F"/>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92EFE"/>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A731A"/>
    <w:rsid w:val="378E3617"/>
    <w:rsid w:val="378E47B3"/>
    <w:rsid w:val="37931A90"/>
    <w:rsid w:val="37A25906"/>
    <w:rsid w:val="37A4082B"/>
    <w:rsid w:val="37A4627C"/>
    <w:rsid w:val="37A530D5"/>
    <w:rsid w:val="37A643C8"/>
    <w:rsid w:val="37AE534B"/>
    <w:rsid w:val="37AF0370"/>
    <w:rsid w:val="37B1214B"/>
    <w:rsid w:val="37B336FE"/>
    <w:rsid w:val="37B5292C"/>
    <w:rsid w:val="37BA6351"/>
    <w:rsid w:val="37BD5D02"/>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45AB"/>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81AB5"/>
    <w:rsid w:val="38986A4B"/>
    <w:rsid w:val="38A30506"/>
    <w:rsid w:val="38A40C18"/>
    <w:rsid w:val="38A433DE"/>
    <w:rsid w:val="38A61C5A"/>
    <w:rsid w:val="38AB306B"/>
    <w:rsid w:val="38AC4968"/>
    <w:rsid w:val="38B87BD2"/>
    <w:rsid w:val="38B9506E"/>
    <w:rsid w:val="38BE3112"/>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1F5D"/>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1657F"/>
    <w:rsid w:val="3A026596"/>
    <w:rsid w:val="3A082ABE"/>
    <w:rsid w:val="3A0A6393"/>
    <w:rsid w:val="3A0E18F6"/>
    <w:rsid w:val="3A0E766B"/>
    <w:rsid w:val="3A181AC2"/>
    <w:rsid w:val="3A1A155D"/>
    <w:rsid w:val="3A1A5D0A"/>
    <w:rsid w:val="3A237175"/>
    <w:rsid w:val="3A264A9F"/>
    <w:rsid w:val="3A2939F7"/>
    <w:rsid w:val="3A2B2AA6"/>
    <w:rsid w:val="3A2E67B0"/>
    <w:rsid w:val="3A443D4B"/>
    <w:rsid w:val="3A543180"/>
    <w:rsid w:val="3A616CAD"/>
    <w:rsid w:val="3A6F2045"/>
    <w:rsid w:val="3A711C68"/>
    <w:rsid w:val="3A7927E8"/>
    <w:rsid w:val="3A796E46"/>
    <w:rsid w:val="3A7C159F"/>
    <w:rsid w:val="3A8B3C77"/>
    <w:rsid w:val="3A971F5B"/>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40BDF"/>
    <w:rsid w:val="3BDB4BB2"/>
    <w:rsid w:val="3BDE5F43"/>
    <w:rsid w:val="3BDE74D0"/>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16C9B"/>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0501B"/>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4172B"/>
    <w:rsid w:val="3DA9667F"/>
    <w:rsid w:val="3DB17297"/>
    <w:rsid w:val="3DBB6C89"/>
    <w:rsid w:val="3DCD6921"/>
    <w:rsid w:val="3DD67156"/>
    <w:rsid w:val="3DD745F2"/>
    <w:rsid w:val="3DE04FCE"/>
    <w:rsid w:val="3DE37514"/>
    <w:rsid w:val="3DE548AC"/>
    <w:rsid w:val="3DE653F8"/>
    <w:rsid w:val="3DE71919"/>
    <w:rsid w:val="3DE72673"/>
    <w:rsid w:val="3DEB1255"/>
    <w:rsid w:val="3DEE1FBE"/>
    <w:rsid w:val="3DEE62E8"/>
    <w:rsid w:val="3DF94D6E"/>
    <w:rsid w:val="3E0448CB"/>
    <w:rsid w:val="3E073B6A"/>
    <w:rsid w:val="3E0918A5"/>
    <w:rsid w:val="3E0F25EA"/>
    <w:rsid w:val="3E146F59"/>
    <w:rsid w:val="3E166378"/>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1687"/>
    <w:rsid w:val="3E8D66A1"/>
    <w:rsid w:val="3E8E6C82"/>
    <w:rsid w:val="3E942719"/>
    <w:rsid w:val="3E943FDD"/>
    <w:rsid w:val="3E95645F"/>
    <w:rsid w:val="3E9838D4"/>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952814"/>
    <w:rsid w:val="3F956B94"/>
    <w:rsid w:val="3F9C0821"/>
    <w:rsid w:val="3F9C213C"/>
    <w:rsid w:val="3F9F06C7"/>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B1C22"/>
    <w:rsid w:val="3FEE2117"/>
    <w:rsid w:val="3FF638FD"/>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1E9E"/>
    <w:rsid w:val="4048358D"/>
    <w:rsid w:val="4049754C"/>
    <w:rsid w:val="404B2521"/>
    <w:rsid w:val="404F7DEB"/>
    <w:rsid w:val="40572DA6"/>
    <w:rsid w:val="405A424E"/>
    <w:rsid w:val="406D461C"/>
    <w:rsid w:val="406F7D87"/>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393251"/>
    <w:rsid w:val="424255E1"/>
    <w:rsid w:val="42426D8B"/>
    <w:rsid w:val="424A277B"/>
    <w:rsid w:val="424C388F"/>
    <w:rsid w:val="424C701C"/>
    <w:rsid w:val="42552CD5"/>
    <w:rsid w:val="42571AE1"/>
    <w:rsid w:val="42637522"/>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AC15A7"/>
    <w:rsid w:val="42B63D6B"/>
    <w:rsid w:val="42B92FAE"/>
    <w:rsid w:val="42C5796D"/>
    <w:rsid w:val="42D02E55"/>
    <w:rsid w:val="42D216FF"/>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9160D"/>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D90B51"/>
    <w:rsid w:val="43E21F58"/>
    <w:rsid w:val="43E35EF0"/>
    <w:rsid w:val="43F71BCF"/>
    <w:rsid w:val="43F76F69"/>
    <w:rsid w:val="43F90FED"/>
    <w:rsid w:val="43F9776B"/>
    <w:rsid w:val="43FC0DB2"/>
    <w:rsid w:val="44051440"/>
    <w:rsid w:val="44095B4D"/>
    <w:rsid w:val="440C5D56"/>
    <w:rsid w:val="44153F0C"/>
    <w:rsid w:val="44174583"/>
    <w:rsid w:val="44177B6A"/>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90FA1"/>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86C3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73A43"/>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35C7A"/>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00DA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59FA"/>
    <w:rsid w:val="49046287"/>
    <w:rsid w:val="49075A63"/>
    <w:rsid w:val="490933FA"/>
    <w:rsid w:val="490A4D2F"/>
    <w:rsid w:val="490A64AF"/>
    <w:rsid w:val="491709CE"/>
    <w:rsid w:val="49186881"/>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BF26BF"/>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3B0E2D"/>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32E10"/>
    <w:rsid w:val="4B183767"/>
    <w:rsid w:val="4B1C66E8"/>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09EF"/>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20DF"/>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B50036"/>
    <w:rsid w:val="4CBB546E"/>
    <w:rsid w:val="4CC17C3E"/>
    <w:rsid w:val="4CC25B41"/>
    <w:rsid w:val="4CC42462"/>
    <w:rsid w:val="4CC42E37"/>
    <w:rsid w:val="4CC67484"/>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D6CA0"/>
    <w:rsid w:val="4D2609C6"/>
    <w:rsid w:val="4D29041D"/>
    <w:rsid w:val="4D2A2C09"/>
    <w:rsid w:val="4D2B2E28"/>
    <w:rsid w:val="4D2F5C2A"/>
    <w:rsid w:val="4D33448A"/>
    <w:rsid w:val="4D3E5124"/>
    <w:rsid w:val="4D3F4840"/>
    <w:rsid w:val="4D410392"/>
    <w:rsid w:val="4D422D07"/>
    <w:rsid w:val="4D427BBD"/>
    <w:rsid w:val="4D4604A0"/>
    <w:rsid w:val="4D551492"/>
    <w:rsid w:val="4D5646C6"/>
    <w:rsid w:val="4D570519"/>
    <w:rsid w:val="4D5A2B9C"/>
    <w:rsid w:val="4D5C5732"/>
    <w:rsid w:val="4D601BF0"/>
    <w:rsid w:val="4D64361B"/>
    <w:rsid w:val="4D656800"/>
    <w:rsid w:val="4D6C4B60"/>
    <w:rsid w:val="4D705706"/>
    <w:rsid w:val="4D7220A0"/>
    <w:rsid w:val="4D722EC4"/>
    <w:rsid w:val="4D76173E"/>
    <w:rsid w:val="4D795468"/>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A3096"/>
    <w:rsid w:val="4EAC241A"/>
    <w:rsid w:val="4EB67945"/>
    <w:rsid w:val="4EC420B9"/>
    <w:rsid w:val="4ECA2CB3"/>
    <w:rsid w:val="4ECC0AD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19D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2DB2"/>
    <w:rsid w:val="503E4F3A"/>
    <w:rsid w:val="504261AC"/>
    <w:rsid w:val="504311C0"/>
    <w:rsid w:val="50435189"/>
    <w:rsid w:val="50461396"/>
    <w:rsid w:val="504B1149"/>
    <w:rsid w:val="504B5456"/>
    <w:rsid w:val="5052029B"/>
    <w:rsid w:val="505F1426"/>
    <w:rsid w:val="506309DB"/>
    <w:rsid w:val="50752AF6"/>
    <w:rsid w:val="50771C00"/>
    <w:rsid w:val="507800F0"/>
    <w:rsid w:val="508A668E"/>
    <w:rsid w:val="50956C20"/>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0F0B52"/>
    <w:rsid w:val="51184E6D"/>
    <w:rsid w:val="51187610"/>
    <w:rsid w:val="511C491F"/>
    <w:rsid w:val="51234937"/>
    <w:rsid w:val="512B350B"/>
    <w:rsid w:val="513571BD"/>
    <w:rsid w:val="51375EB3"/>
    <w:rsid w:val="513853CC"/>
    <w:rsid w:val="51392D77"/>
    <w:rsid w:val="513D483E"/>
    <w:rsid w:val="513F081D"/>
    <w:rsid w:val="514C1E16"/>
    <w:rsid w:val="515361F4"/>
    <w:rsid w:val="515529BB"/>
    <w:rsid w:val="515A64E3"/>
    <w:rsid w:val="515C30A6"/>
    <w:rsid w:val="5161698E"/>
    <w:rsid w:val="5163574F"/>
    <w:rsid w:val="51651617"/>
    <w:rsid w:val="51733275"/>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CA0FE2"/>
    <w:rsid w:val="51D23A12"/>
    <w:rsid w:val="51D42177"/>
    <w:rsid w:val="51D43598"/>
    <w:rsid w:val="51D64DA9"/>
    <w:rsid w:val="51DA51E8"/>
    <w:rsid w:val="51DA5890"/>
    <w:rsid w:val="51E90CD5"/>
    <w:rsid w:val="51EE7B3E"/>
    <w:rsid w:val="51F51BD1"/>
    <w:rsid w:val="51F96848"/>
    <w:rsid w:val="51FB40B5"/>
    <w:rsid w:val="52073487"/>
    <w:rsid w:val="520A506B"/>
    <w:rsid w:val="520A7B89"/>
    <w:rsid w:val="520E648E"/>
    <w:rsid w:val="521C5D43"/>
    <w:rsid w:val="521D7ED7"/>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73A83"/>
    <w:rsid w:val="53794E20"/>
    <w:rsid w:val="537A78AC"/>
    <w:rsid w:val="537D3C2F"/>
    <w:rsid w:val="538C7861"/>
    <w:rsid w:val="5391597D"/>
    <w:rsid w:val="53934D52"/>
    <w:rsid w:val="53943B08"/>
    <w:rsid w:val="53945FB6"/>
    <w:rsid w:val="53947DE7"/>
    <w:rsid w:val="539650C0"/>
    <w:rsid w:val="53974815"/>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40BD"/>
    <w:rsid w:val="541F38E3"/>
    <w:rsid w:val="542A1803"/>
    <w:rsid w:val="542A3FEF"/>
    <w:rsid w:val="542A5504"/>
    <w:rsid w:val="542F7A60"/>
    <w:rsid w:val="54346136"/>
    <w:rsid w:val="5438183D"/>
    <w:rsid w:val="544F3CE6"/>
    <w:rsid w:val="54525BFB"/>
    <w:rsid w:val="5452765B"/>
    <w:rsid w:val="54550067"/>
    <w:rsid w:val="54580F5A"/>
    <w:rsid w:val="545D3E4A"/>
    <w:rsid w:val="54757648"/>
    <w:rsid w:val="5478695B"/>
    <w:rsid w:val="547D0B9F"/>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D6CB5"/>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544F9"/>
    <w:rsid w:val="56A83AE3"/>
    <w:rsid w:val="56AB6535"/>
    <w:rsid w:val="56AD02E2"/>
    <w:rsid w:val="56AD339E"/>
    <w:rsid w:val="56AD4376"/>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95761"/>
    <w:rsid w:val="571777C3"/>
    <w:rsid w:val="571B1F7E"/>
    <w:rsid w:val="571D34AC"/>
    <w:rsid w:val="571F270E"/>
    <w:rsid w:val="572505F8"/>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66A8C"/>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66A92"/>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16E92"/>
    <w:rsid w:val="58D720A4"/>
    <w:rsid w:val="58DB456A"/>
    <w:rsid w:val="58E56245"/>
    <w:rsid w:val="58E909DD"/>
    <w:rsid w:val="58EB1C90"/>
    <w:rsid w:val="58EE536D"/>
    <w:rsid w:val="58F57D12"/>
    <w:rsid w:val="59094784"/>
    <w:rsid w:val="590C66B1"/>
    <w:rsid w:val="59255E05"/>
    <w:rsid w:val="59267EF0"/>
    <w:rsid w:val="59287A6A"/>
    <w:rsid w:val="592C2EB2"/>
    <w:rsid w:val="59376E4C"/>
    <w:rsid w:val="59421F7E"/>
    <w:rsid w:val="59424509"/>
    <w:rsid w:val="594935F2"/>
    <w:rsid w:val="594C2750"/>
    <w:rsid w:val="594E6D2D"/>
    <w:rsid w:val="59581A00"/>
    <w:rsid w:val="59595860"/>
    <w:rsid w:val="595C0946"/>
    <w:rsid w:val="59604A5E"/>
    <w:rsid w:val="596337AD"/>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13664"/>
    <w:rsid w:val="5A525A46"/>
    <w:rsid w:val="5A5406EE"/>
    <w:rsid w:val="5A575C31"/>
    <w:rsid w:val="5A5A2DA4"/>
    <w:rsid w:val="5A5C7772"/>
    <w:rsid w:val="5A6169CB"/>
    <w:rsid w:val="5A6336A1"/>
    <w:rsid w:val="5A65704E"/>
    <w:rsid w:val="5A6B7C88"/>
    <w:rsid w:val="5A6F5AD1"/>
    <w:rsid w:val="5A73612A"/>
    <w:rsid w:val="5A7723FC"/>
    <w:rsid w:val="5A784E1A"/>
    <w:rsid w:val="5A7F6F98"/>
    <w:rsid w:val="5A8F76C1"/>
    <w:rsid w:val="5A921A04"/>
    <w:rsid w:val="5A9A0A66"/>
    <w:rsid w:val="5AA541CF"/>
    <w:rsid w:val="5AAF48E4"/>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2690F"/>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2BA3"/>
    <w:rsid w:val="5BE23D1E"/>
    <w:rsid w:val="5BE24CD9"/>
    <w:rsid w:val="5BE45587"/>
    <w:rsid w:val="5BE50680"/>
    <w:rsid w:val="5BE52EE1"/>
    <w:rsid w:val="5BEA2231"/>
    <w:rsid w:val="5BF13412"/>
    <w:rsid w:val="5BF23EBC"/>
    <w:rsid w:val="5BF524ED"/>
    <w:rsid w:val="5BF53251"/>
    <w:rsid w:val="5BF57A15"/>
    <w:rsid w:val="5BF65E64"/>
    <w:rsid w:val="5BFD4032"/>
    <w:rsid w:val="5BFF0C86"/>
    <w:rsid w:val="5C062E6E"/>
    <w:rsid w:val="5C087355"/>
    <w:rsid w:val="5C0C52E3"/>
    <w:rsid w:val="5C0C750E"/>
    <w:rsid w:val="5C0C796E"/>
    <w:rsid w:val="5C0E435F"/>
    <w:rsid w:val="5C135532"/>
    <w:rsid w:val="5C1832F4"/>
    <w:rsid w:val="5C185468"/>
    <w:rsid w:val="5C1A3044"/>
    <w:rsid w:val="5C1D0C0F"/>
    <w:rsid w:val="5C21112A"/>
    <w:rsid w:val="5C2218F7"/>
    <w:rsid w:val="5C3B2DCF"/>
    <w:rsid w:val="5C3B43EE"/>
    <w:rsid w:val="5C474C2E"/>
    <w:rsid w:val="5C494C6D"/>
    <w:rsid w:val="5C500AF8"/>
    <w:rsid w:val="5C517866"/>
    <w:rsid w:val="5C523483"/>
    <w:rsid w:val="5C5348B4"/>
    <w:rsid w:val="5C5E033F"/>
    <w:rsid w:val="5C6875EE"/>
    <w:rsid w:val="5C6B21CA"/>
    <w:rsid w:val="5C6F12DC"/>
    <w:rsid w:val="5C7A2919"/>
    <w:rsid w:val="5C84202F"/>
    <w:rsid w:val="5C8F19C2"/>
    <w:rsid w:val="5CA57043"/>
    <w:rsid w:val="5CB157B0"/>
    <w:rsid w:val="5CBF4297"/>
    <w:rsid w:val="5CC43404"/>
    <w:rsid w:val="5CC93DAE"/>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3D671E"/>
    <w:rsid w:val="5D473075"/>
    <w:rsid w:val="5D475E41"/>
    <w:rsid w:val="5D4822EE"/>
    <w:rsid w:val="5D4C5595"/>
    <w:rsid w:val="5D5864DB"/>
    <w:rsid w:val="5D6F03C1"/>
    <w:rsid w:val="5D702EEF"/>
    <w:rsid w:val="5D73393B"/>
    <w:rsid w:val="5D76353B"/>
    <w:rsid w:val="5D77731A"/>
    <w:rsid w:val="5D784379"/>
    <w:rsid w:val="5D7B3457"/>
    <w:rsid w:val="5D7E2C50"/>
    <w:rsid w:val="5D820C77"/>
    <w:rsid w:val="5D826C13"/>
    <w:rsid w:val="5D8428C5"/>
    <w:rsid w:val="5D8579FD"/>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03F9E"/>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D11C3F"/>
    <w:rsid w:val="62D35D1C"/>
    <w:rsid w:val="62D67D61"/>
    <w:rsid w:val="62D777AF"/>
    <w:rsid w:val="62E157FC"/>
    <w:rsid w:val="62E523AD"/>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47F26"/>
    <w:rsid w:val="6367139B"/>
    <w:rsid w:val="63683422"/>
    <w:rsid w:val="636C62BA"/>
    <w:rsid w:val="63710BA6"/>
    <w:rsid w:val="637346BC"/>
    <w:rsid w:val="637D75E6"/>
    <w:rsid w:val="63821D61"/>
    <w:rsid w:val="63827E36"/>
    <w:rsid w:val="63842477"/>
    <w:rsid w:val="638823F9"/>
    <w:rsid w:val="63891BA5"/>
    <w:rsid w:val="638B04D2"/>
    <w:rsid w:val="639A118D"/>
    <w:rsid w:val="639B7C08"/>
    <w:rsid w:val="63A13147"/>
    <w:rsid w:val="63A6340B"/>
    <w:rsid w:val="63A76A3F"/>
    <w:rsid w:val="63A85CD1"/>
    <w:rsid w:val="63AB2A39"/>
    <w:rsid w:val="63B02C42"/>
    <w:rsid w:val="63C51AD9"/>
    <w:rsid w:val="63C54411"/>
    <w:rsid w:val="63C733FE"/>
    <w:rsid w:val="63C9048D"/>
    <w:rsid w:val="63CB478B"/>
    <w:rsid w:val="63CD27C8"/>
    <w:rsid w:val="63CD4C2D"/>
    <w:rsid w:val="63CF2629"/>
    <w:rsid w:val="63D40E51"/>
    <w:rsid w:val="63D52E6F"/>
    <w:rsid w:val="63D85FCA"/>
    <w:rsid w:val="63E263F4"/>
    <w:rsid w:val="63E418C9"/>
    <w:rsid w:val="63F55755"/>
    <w:rsid w:val="63FB6EC6"/>
    <w:rsid w:val="63FD7654"/>
    <w:rsid w:val="640A7217"/>
    <w:rsid w:val="640C2BB6"/>
    <w:rsid w:val="640C55D8"/>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2B6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45394"/>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BF6C45"/>
    <w:rsid w:val="65D43869"/>
    <w:rsid w:val="65D64BB3"/>
    <w:rsid w:val="65D70270"/>
    <w:rsid w:val="65E91B08"/>
    <w:rsid w:val="65F2016B"/>
    <w:rsid w:val="65F5725F"/>
    <w:rsid w:val="6602252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1C65"/>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80891"/>
    <w:rsid w:val="675A0CA3"/>
    <w:rsid w:val="675A17FE"/>
    <w:rsid w:val="67617AF0"/>
    <w:rsid w:val="67627B2A"/>
    <w:rsid w:val="6768655A"/>
    <w:rsid w:val="676E1585"/>
    <w:rsid w:val="67775952"/>
    <w:rsid w:val="677E2FA1"/>
    <w:rsid w:val="67816F37"/>
    <w:rsid w:val="67834615"/>
    <w:rsid w:val="67836FB1"/>
    <w:rsid w:val="678A12A7"/>
    <w:rsid w:val="678A44B2"/>
    <w:rsid w:val="678C1D52"/>
    <w:rsid w:val="678D19D7"/>
    <w:rsid w:val="67920C02"/>
    <w:rsid w:val="6792321C"/>
    <w:rsid w:val="67934263"/>
    <w:rsid w:val="67941515"/>
    <w:rsid w:val="67973403"/>
    <w:rsid w:val="679F0DC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66EBA"/>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75D02"/>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9686F"/>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603"/>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57F3A"/>
    <w:rsid w:val="6AF63F29"/>
    <w:rsid w:val="6AFB7DF3"/>
    <w:rsid w:val="6AFE4F30"/>
    <w:rsid w:val="6B0477FC"/>
    <w:rsid w:val="6B0A3D9B"/>
    <w:rsid w:val="6B0E002C"/>
    <w:rsid w:val="6B21318E"/>
    <w:rsid w:val="6B227A15"/>
    <w:rsid w:val="6B2833E7"/>
    <w:rsid w:val="6B285741"/>
    <w:rsid w:val="6B340EF1"/>
    <w:rsid w:val="6B340F05"/>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40221"/>
    <w:rsid w:val="6B785D05"/>
    <w:rsid w:val="6B7F7BD7"/>
    <w:rsid w:val="6B846AF2"/>
    <w:rsid w:val="6B95396B"/>
    <w:rsid w:val="6BA40B9D"/>
    <w:rsid w:val="6BAA2D23"/>
    <w:rsid w:val="6BAC0EF7"/>
    <w:rsid w:val="6BB90470"/>
    <w:rsid w:val="6BBB00B1"/>
    <w:rsid w:val="6BBD3E9D"/>
    <w:rsid w:val="6BC03721"/>
    <w:rsid w:val="6BC43438"/>
    <w:rsid w:val="6BC51A97"/>
    <w:rsid w:val="6BCC01D5"/>
    <w:rsid w:val="6BCF2DCA"/>
    <w:rsid w:val="6BD22E75"/>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46D91"/>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A178E"/>
    <w:rsid w:val="6D273B17"/>
    <w:rsid w:val="6D274676"/>
    <w:rsid w:val="6D2D5212"/>
    <w:rsid w:val="6D2F4B50"/>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16DB2"/>
    <w:rsid w:val="6E131686"/>
    <w:rsid w:val="6E163C98"/>
    <w:rsid w:val="6E1825EE"/>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A2420"/>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3F79F9"/>
    <w:rsid w:val="6F447F07"/>
    <w:rsid w:val="6F4876AF"/>
    <w:rsid w:val="6F537FC0"/>
    <w:rsid w:val="6F5E3CAA"/>
    <w:rsid w:val="6F607895"/>
    <w:rsid w:val="6F61040C"/>
    <w:rsid w:val="6F6776E1"/>
    <w:rsid w:val="6F702CF5"/>
    <w:rsid w:val="6F714EFF"/>
    <w:rsid w:val="6F7A0C7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94AF1"/>
    <w:rsid w:val="704A6916"/>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0F31715"/>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4186C"/>
    <w:rsid w:val="71A535F8"/>
    <w:rsid w:val="71A5684D"/>
    <w:rsid w:val="71AE2BD5"/>
    <w:rsid w:val="71AF2F66"/>
    <w:rsid w:val="71B06996"/>
    <w:rsid w:val="71B31BCF"/>
    <w:rsid w:val="71B40CF8"/>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2CE7"/>
    <w:rsid w:val="724A1C04"/>
    <w:rsid w:val="724D4B1D"/>
    <w:rsid w:val="724E54F1"/>
    <w:rsid w:val="72523E7A"/>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B332E"/>
    <w:rsid w:val="72AF09AE"/>
    <w:rsid w:val="72B23B41"/>
    <w:rsid w:val="72B751B8"/>
    <w:rsid w:val="72BE6371"/>
    <w:rsid w:val="72BF25A6"/>
    <w:rsid w:val="72C221EC"/>
    <w:rsid w:val="72CE3184"/>
    <w:rsid w:val="72CE7D06"/>
    <w:rsid w:val="72CF40C2"/>
    <w:rsid w:val="72D456A5"/>
    <w:rsid w:val="72E70D52"/>
    <w:rsid w:val="72EA6B66"/>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F0E23"/>
    <w:rsid w:val="74964674"/>
    <w:rsid w:val="749D5800"/>
    <w:rsid w:val="74A63A12"/>
    <w:rsid w:val="74A73312"/>
    <w:rsid w:val="74A739B2"/>
    <w:rsid w:val="74B06962"/>
    <w:rsid w:val="74B32215"/>
    <w:rsid w:val="74BC7516"/>
    <w:rsid w:val="74C0607C"/>
    <w:rsid w:val="74C46840"/>
    <w:rsid w:val="74CB0DAA"/>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2E7064"/>
    <w:rsid w:val="75325694"/>
    <w:rsid w:val="7534402F"/>
    <w:rsid w:val="75376E15"/>
    <w:rsid w:val="753B454F"/>
    <w:rsid w:val="753D6B7D"/>
    <w:rsid w:val="753F6B6A"/>
    <w:rsid w:val="75441B17"/>
    <w:rsid w:val="75457EFF"/>
    <w:rsid w:val="754A1024"/>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206C7"/>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558F3"/>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649"/>
    <w:rsid w:val="76A56898"/>
    <w:rsid w:val="76A652D8"/>
    <w:rsid w:val="76AF378A"/>
    <w:rsid w:val="76B153BA"/>
    <w:rsid w:val="76BE7B18"/>
    <w:rsid w:val="76BF40F9"/>
    <w:rsid w:val="76C72CA0"/>
    <w:rsid w:val="76D02C26"/>
    <w:rsid w:val="76D63C26"/>
    <w:rsid w:val="76E36B6A"/>
    <w:rsid w:val="76ED0EF4"/>
    <w:rsid w:val="76EF7937"/>
    <w:rsid w:val="76F2295F"/>
    <w:rsid w:val="76F50A9F"/>
    <w:rsid w:val="76F54B72"/>
    <w:rsid w:val="76FA29F6"/>
    <w:rsid w:val="76FA2A7D"/>
    <w:rsid w:val="76FC1359"/>
    <w:rsid w:val="76FD2D1D"/>
    <w:rsid w:val="77062DA9"/>
    <w:rsid w:val="770D756F"/>
    <w:rsid w:val="770F088C"/>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16C09"/>
    <w:rsid w:val="77C2510C"/>
    <w:rsid w:val="77C73318"/>
    <w:rsid w:val="77C833A2"/>
    <w:rsid w:val="77D21E05"/>
    <w:rsid w:val="77D26B27"/>
    <w:rsid w:val="77E568E3"/>
    <w:rsid w:val="77E746B2"/>
    <w:rsid w:val="77EE19D2"/>
    <w:rsid w:val="77EF4577"/>
    <w:rsid w:val="77F62755"/>
    <w:rsid w:val="77F62779"/>
    <w:rsid w:val="77F92249"/>
    <w:rsid w:val="78036043"/>
    <w:rsid w:val="780F6F82"/>
    <w:rsid w:val="781164D0"/>
    <w:rsid w:val="7813374F"/>
    <w:rsid w:val="781838FF"/>
    <w:rsid w:val="781A21DD"/>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F277D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078F9"/>
    <w:rsid w:val="79B57356"/>
    <w:rsid w:val="79BD3E41"/>
    <w:rsid w:val="79BF2784"/>
    <w:rsid w:val="79C0597A"/>
    <w:rsid w:val="79C24EDF"/>
    <w:rsid w:val="79C66717"/>
    <w:rsid w:val="79C70888"/>
    <w:rsid w:val="79C876AF"/>
    <w:rsid w:val="79C95AED"/>
    <w:rsid w:val="79CC40F1"/>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C2538"/>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55E2E"/>
    <w:rsid w:val="7BBD1B11"/>
    <w:rsid w:val="7BC17EBE"/>
    <w:rsid w:val="7BC212EB"/>
    <w:rsid w:val="7BC43666"/>
    <w:rsid w:val="7BC8293C"/>
    <w:rsid w:val="7BC87053"/>
    <w:rsid w:val="7BCB73BC"/>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610C91"/>
    <w:rsid w:val="7C613AEC"/>
    <w:rsid w:val="7C655448"/>
    <w:rsid w:val="7C66510B"/>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17FB"/>
    <w:rsid w:val="7CD72F9B"/>
    <w:rsid w:val="7CDC6A0A"/>
    <w:rsid w:val="7CE146B6"/>
    <w:rsid w:val="7CE65C11"/>
    <w:rsid w:val="7CE70935"/>
    <w:rsid w:val="7CF84A31"/>
    <w:rsid w:val="7CFC44C2"/>
    <w:rsid w:val="7CFF1C44"/>
    <w:rsid w:val="7CFF28B4"/>
    <w:rsid w:val="7D013B39"/>
    <w:rsid w:val="7D060FAD"/>
    <w:rsid w:val="7D0826CA"/>
    <w:rsid w:val="7D0D06E5"/>
    <w:rsid w:val="7D112874"/>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4F63"/>
    <w:rsid w:val="7DDA6C39"/>
    <w:rsid w:val="7DE15552"/>
    <w:rsid w:val="7DE16744"/>
    <w:rsid w:val="7DE653AB"/>
    <w:rsid w:val="7DE71438"/>
    <w:rsid w:val="7DEB2C44"/>
    <w:rsid w:val="7DF464FC"/>
    <w:rsid w:val="7DFE63E1"/>
    <w:rsid w:val="7E006A11"/>
    <w:rsid w:val="7E043ED9"/>
    <w:rsid w:val="7E104623"/>
    <w:rsid w:val="7E1A042F"/>
    <w:rsid w:val="7E1C55F3"/>
    <w:rsid w:val="7E202566"/>
    <w:rsid w:val="7E222965"/>
    <w:rsid w:val="7E293001"/>
    <w:rsid w:val="7E2D6A9A"/>
    <w:rsid w:val="7E2E7D3F"/>
    <w:rsid w:val="7E2F1D57"/>
    <w:rsid w:val="7E330B2F"/>
    <w:rsid w:val="7E347694"/>
    <w:rsid w:val="7E3B5911"/>
    <w:rsid w:val="7E452536"/>
    <w:rsid w:val="7E495416"/>
    <w:rsid w:val="7E497873"/>
    <w:rsid w:val="7E4A44B6"/>
    <w:rsid w:val="7E523F24"/>
    <w:rsid w:val="7E570488"/>
    <w:rsid w:val="7E573082"/>
    <w:rsid w:val="7E593C4C"/>
    <w:rsid w:val="7E61650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BE62D0"/>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40461"/>
    <w:rsid w:val="7F35713F"/>
    <w:rsid w:val="7F3757D3"/>
    <w:rsid w:val="7F3A2780"/>
    <w:rsid w:val="7F3A44DE"/>
    <w:rsid w:val="7F3A7611"/>
    <w:rsid w:val="7F3B01C9"/>
    <w:rsid w:val="7F3F0DA0"/>
    <w:rsid w:val="7F4A17F6"/>
    <w:rsid w:val="7F536DE1"/>
    <w:rsid w:val="7F5A2F41"/>
    <w:rsid w:val="7F6339F7"/>
    <w:rsid w:val="7F8403DB"/>
    <w:rsid w:val="7F8660CD"/>
    <w:rsid w:val="7F8A2E2C"/>
    <w:rsid w:val="7F963419"/>
    <w:rsid w:val="7F98528E"/>
    <w:rsid w:val="7FA069EC"/>
    <w:rsid w:val="7FB351E6"/>
    <w:rsid w:val="7FB422D4"/>
    <w:rsid w:val="7FD277AE"/>
    <w:rsid w:val="7FDA2CD0"/>
    <w:rsid w:val="7FDB769F"/>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2</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2024-04-08T15:54:33Z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